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2020</w:t>
      </w:r>
      <w:r w:rsidRPr="007D422F">
        <w:rPr>
          <w:rFonts w:asciiTheme="minorEastAsia" w:hAnsiTheme="minorEastAsia" w:hint="eastAsia"/>
          <w:sz w:val="20"/>
          <w:szCs w:val="20"/>
        </w:rPr>
        <w:t>年</w:t>
      </w:r>
      <w:r w:rsidRPr="007D422F">
        <w:rPr>
          <w:rFonts w:asciiTheme="minorEastAsia" w:hAnsiTheme="minorEastAsia"/>
          <w:sz w:val="20"/>
          <w:szCs w:val="20"/>
        </w:rPr>
        <w:t>12</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BB661C">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プレガバリン</w:t>
            </w:r>
            <w:r w:rsidRPr="000600ED">
              <w:rPr>
                <w:rFonts w:asciiTheme="majorEastAsia" w:eastAsiaTheme="majorEastAsia" w:hAnsiTheme="majorEastAsia"/>
                <w:b/>
                <w:sz w:val="24"/>
                <w:szCs w:val="24"/>
              </w:rPr>
              <w:t>OD</w:t>
            </w:r>
            <w:r w:rsidRPr="000600ED">
              <w:rPr>
                <w:rFonts w:asciiTheme="majorEastAsia" w:eastAsiaTheme="majorEastAsia" w:hAnsiTheme="majorEastAsia" w:hint="eastAsia"/>
                <w:b/>
                <w:sz w:val="24"/>
                <w:szCs w:val="24"/>
              </w:rPr>
              <w:t>錠</w:t>
            </w:r>
            <w:r w:rsidRPr="000600ED">
              <w:rPr>
                <w:rFonts w:asciiTheme="majorEastAsia" w:eastAsiaTheme="majorEastAsia" w:hAnsiTheme="majorEastAsia"/>
                <w:b/>
                <w:sz w:val="24"/>
                <w:szCs w:val="24"/>
              </w:rPr>
              <w:t>75mg</w:t>
            </w:r>
            <w:r w:rsidRPr="000600ED">
              <w:rPr>
                <w:rFonts w:asciiTheme="majorEastAsia" w:eastAsiaTheme="majorEastAsia" w:hAnsiTheme="majorEastAsia" w:hint="eastAsia"/>
                <w:b/>
                <w:sz w:val="24"/>
                <w:szCs w:val="24"/>
              </w:rPr>
              <w:t>「</w:t>
            </w:r>
            <w:r w:rsidRPr="000600ED">
              <w:rPr>
                <w:rFonts w:asciiTheme="majorEastAsia" w:eastAsiaTheme="majorEastAsia" w:hAnsiTheme="majorEastAsia"/>
                <w:b/>
                <w:sz w:val="24"/>
                <w:szCs w:val="24"/>
              </w:rPr>
              <w:t>ZE</w:t>
            </w:r>
            <w:r w:rsidRPr="000600ED">
              <w:rPr>
                <w:rFonts w:asciiTheme="majorEastAsia" w:eastAsiaTheme="majorEastAsia" w:hAnsiTheme="majorEastAsia" w:hint="eastAsia"/>
                <w:b/>
                <w:sz w:val="24"/>
                <w:szCs w:val="24"/>
              </w:rPr>
              <w:t>」</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プレガバリン</w:t>
            </w:r>
            <w:r w:rsidRPr="000600ED">
              <w:rPr>
                <w:rFonts w:asciiTheme="minorEastAsia" w:hAnsiTheme="minorEastAsia"/>
                <w:sz w:val="20"/>
                <w:szCs w:val="20"/>
              </w:rPr>
              <w:t>(Pregabalin)</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白色～微黄白色の錠剤、直径</w:t>
            </w:r>
            <w:r w:rsidRPr="000600ED">
              <w:rPr>
                <w:rFonts w:asciiTheme="minorEastAsia" w:hAnsiTheme="minorEastAsia"/>
                <w:sz w:val="20"/>
                <w:szCs w:val="20"/>
              </w:rPr>
              <w:t>9.5mm</w:t>
            </w:r>
            <w:r w:rsidRPr="000600ED">
              <w:rPr>
                <w:rFonts w:asciiTheme="minorEastAsia" w:hAnsiTheme="minorEastAsia" w:hint="eastAsia"/>
                <w:sz w:val="20"/>
                <w:szCs w:val="20"/>
              </w:rPr>
              <w:t>、厚さ</w:t>
            </w:r>
            <w:r w:rsidRPr="000600ED">
              <w:rPr>
                <w:rFonts w:asciiTheme="minorEastAsia" w:hAnsiTheme="minorEastAsia"/>
                <w:sz w:val="20"/>
                <w:szCs w:val="20"/>
              </w:rPr>
              <w:t>4.7mm</w:t>
            </w:r>
            <w:bookmarkStart w:id="0" w:name="_GoBack"/>
            <w:bookmarkEnd w:id="0"/>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（表）プレガバリン</w:t>
            </w:r>
            <w:r w:rsidR="000600ED" w:rsidRPr="000600ED">
              <w:rPr>
                <w:rFonts w:asciiTheme="minorEastAsia" w:hAnsiTheme="minorEastAsia"/>
                <w:sz w:val="20"/>
                <w:szCs w:val="20"/>
              </w:rPr>
              <w:t>OD</w:t>
            </w:r>
            <w:r w:rsidR="000600ED" w:rsidRPr="000600ED">
              <w:rPr>
                <w:rFonts w:asciiTheme="minorEastAsia" w:hAnsiTheme="minorEastAsia" w:hint="eastAsia"/>
                <w:sz w:val="20"/>
                <w:szCs w:val="20"/>
              </w:rPr>
              <w:t>錠</w:t>
            </w:r>
            <w:r w:rsidR="000600ED" w:rsidRPr="000600ED">
              <w:rPr>
                <w:rFonts w:asciiTheme="minorEastAsia" w:hAnsiTheme="minorEastAsia"/>
                <w:sz w:val="20"/>
                <w:szCs w:val="20"/>
              </w:rPr>
              <w:t>75mg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ZE</w:t>
            </w:r>
            <w:r w:rsidR="000600ED" w:rsidRPr="000600ED">
              <w:rPr>
                <w:rFonts w:asciiTheme="minorEastAsia" w:hAnsiTheme="minorEastAsia" w:hint="eastAsia"/>
                <w:sz w:val="20"/>
                <w:szCs w:val="20"/>
              </w:rPr>
              <w:t>」、プレガバリン、</w:t>
            </w:r>
            <w:r w:rsidR="000600ED" w:rsidRPr="000600ED">
              <w:rPr>
                <w:rFonts w:asciiTheme="minorEastAsia" w:hAnsiTheme="minorEastAsia"/>
                <w:sz w:val="20"/>
                <w:szCs w:val="20"/>
              </w:rPr>
              <w:t>75</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OD</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PREGABALIN OD TABLETS 75mg</w:t>
            </w:r>
            <w:r w:rsidRPr="000600ED">
              <w:rPr>
                <w:rFonts w:asciiTheme="minorEastAsia" w:hAnsiTheme="minorEastAsia" w:hint="eastAsia"/>
                <w:sz w:val="20"/>
                <w:szCs w:val="20"/>
              </w:rPr>
              <w:t>「</w:t>
            </w:r>
            <w:r w:rsidRPr="000600ED">
              <w:rPr>
                <w:rFonts w:asciiTheme="minorEastAsia" w:hAnsiTheme="minorEastAsia"/>
                <w:sz w:val="20"/>
                <w:szCs w:val="20"/>
              </w:rPr>
              <w:t>ZE</w:t>
            </w:r>
            <w:r w:rsidRPr="000600ED">
              <w:rPr>
                <w:rFonts w:asciiTheme="minorEastAsia" w:hAnsiTheme="minorEastAsia" w:hint="eastAsia"/>
                <w:sz w:val="20"/>
                <w:szCs w:val="20"/>
              </w:rPr>
              <w:t>」、プレガバリン</w:t>
            </w:r>
            <w:r w:rsidRPr="000600ED">
              <w:rPr>
                <w:rFonts w:asciiTheme="minorEastAsia" w:hAnsiTheme="minorEastAsia"/>
                <w:sz w:val="20"/>
                <w:szCs w:val="20"/>
              </w:rPr>
              <w:t>OD 75mg</w:t>
            </w:r>
            <w:r w:rsidRPr="000600ED">
              <w:rPr>
                <w:rFonts w:asciiTheme="minorEastAsia" w:hAnsiTheme="minorEastAsia" w:hint="eastAsia"/>
                <w:sz w:val="20"/>
                <w:szCs w:val="20"/>
              </w:rPr>
              <w:t>「</w:t>
            </w:r>
            <w:r w:rsidRPr="000600ED">
              <w:rPr>
                <w:rFonts w:asciiTheme="minorEastAsia" w:hAnsiTheme="minorEastAsia"/>
                <w:sz w:val="20"/>
                <w:szCs w:val="20"/>
              </w:rPr>
              <w:t>ZE</w:t>
            </w:r>
            <w:r w:rsidRPr="000600ED">
              <w:rPr>
                <w:rFonts w:asciiTheme="minorEastAsia" w:hAnsiTheme="minorEastAsia" w:hint="eastAsia"/>
                <w:sz w:val="20"/>
                <w:szCs w:val="20"/>
              </w:rPr>
              <w:t>」、口腔内崩壊錠</w:t>
            </w:r>
          </w:p>
        </w:tc>
        <w:tc>
          <w:tcPr>
            <w:tcW w:w="2161" w:type="dxa"/>
            <w:vAlign w:val="center"/>
          </w:tcPr>
          <w:p w:rsidR="00D24830" w:rsidRPr="000600ED" w:rsidRDefault="00D24830" w:rsidP="00BB661C">
            <w:pPr>
              <w:jc w:val="center"/>
              <w:rPr>
                <w:rFonts w:asciiTheme="minorEastAsia"/>
                <w:sz w:val="20"/>
                <w:szCs w:val="20"/>
              </w:rPr>
            </w:pPr>
            <w:r w:rsidRPr="000600ED">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中枢神経系においてカルシウム流入を抑制し、グルタミン酸などの興奮性神経伝達物質の遊離を抑制することにより、過剰に興奮した神経を鎮め、痛みを和らげます。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通常、神経障害性疼痛や線維筋痛症に伴う疼痛の治療に用いられます。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・以前に薬を使用して、かゆみ、発疹などのアレルギー症状が出たことがある。腎機能障害、うっ血性心不全、血管浮腫の既往がある。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神経障害性疼痛</w:t>
            </w:r>
            <w:r w:rsidRPr="000600ED">
              <w:rPr>
                <w:rFonts w:asciiTheme="minorEastAsia" w:hAnsiTheme="minorEastAsia" w:hint="eastAsia"/>
                <w:sz w:val="20"/>
                <w:szCs w:val="20"/>
              </w:rPr>
              <w:t>：通常、成人は初期用量として</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75mg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回服用し、その後</w:t>
            </w:r>
            <w:r w:rsidRPr="000600ED">
              <w:rPr>
                <w:rFonts w:asciiTheme="minorEastAsia" w:hAnsiTheme="minorEastAsia"/>
                <w:sz w:val="20"/>
                <w:szCs w:val="20"/>
              </w:rPr>
              <w:t>1</w:t>
            </w:r>
            <w:r w:rsidRPr="000600ED">
              <w:rPr>
                <w:rFonts w:asciiTheme="minorEastAsia" w:hAnsiTheme="minorEastAsia" w:hint="eastAsia"/>
                <w:sz w:val="20"/>
                <w:szCs w:val="20"/>
              </w:rPr>
              <w:t>週間以上かけて</w:t>
            </w:r>
            <w:r w:rsidRPr="000600ED">
              <w:rPr>
                <w:rFonts w:asciiTheme="minorEastAsia" w:hAnsiTheme="minorEastAsia"/>
                <w:sz w:val="20"/>
                <w:szCs w:val="20"/>
              </w:rPr>
              <w:t>1</w:t>
            </w:r>
            <w:r w:rsidRPr="000600ED">
              <w:rPr>
                <w:rFonts w:asciiTheme="minorEastAsia" w:hAnsiTheme="minorEastAsia" w:hint="eastAsia"/>
                <w:sz w:val="20"/>
                <w:szCs w:val="20"/>
              </w:rPr>
              <w:t>日用量として</w:t>
            </w:r>
            <w:r w:rsidRPr="000600ED">
              <w:rPr>
                <w:rFonts w:asciiTheme="minorEastAsia" w:hAnsiTheme="minorEastAsia"/>
                <w:sz w:val="20"/>
                <w:szCs w:val="20"/>
              </w:rPr>
              <w:t>300mg</w:t>
            </w:r>
            <w:r w:rsidRPr="000600ED">
              <w:rPr>
                <w:rFonts w:asciiTheme="minorEastAsia" w:hAnsiTheme="minorEastAsia" w:hint="eastAsia"/>
                <w:sz w:val="20"/>
                <w:szCs w:val="20"/>
              </w:rPr>
              <w:t>まで漸増します。年齢・症状により適宜増減されますが、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日最高用量は</w:t>
            </w:r>
            <w:r w:rsidRPr="000600ED">
              <w:rPr>
                <w:rFonts w:asciiTheme="minorEastAsia" w:hAnsiTheme="minorEastAsia"/>
                <w:sz w:val="20"/>
                <w:szCs w:val="20"/>
              </w:rPr>
              <w:t>600mg</w:t>
            </w:r>
            <w:r w:rsidRPr="000600ED">
              <w:rPr>
                <w:rFonts w:asciiTheme="minorEastAsia" w:hAnsiTheme="minorEastAsia" w:hint="eastAsia"/>
                <w:sz w:val="20"/>
                <w:szCs w:val="20"/>
              </w:rPr>
              <w:t>を超えないこととし、いずれも</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回服用します。</w:t>
            </w:r>
          </w:p>
          <w:p w:rsidR="00000000" w:rsidRDefault="000600ED" w:rsidP="002B76BF">
            <w:pPr>
              <w:ind w:leftChars="200" w:left="420"/>
            </w:pPr>
            <w:r w:rsidRPr="000600ED">
              <w:rPr>
                <w:rFonts w:asciiTheme="minorEastAsia" w:hAnsiTheme="minorEastAsia" w:hint="eastAsia"/>
                <w:sz w:val="20"/>
                <w:szCs w:val="20"/>
                <w:u w:val="single"/>
              </w:rPr>
              <w:t>線維筋痛症に伴う疼痛</w:t>
            </w:r>
            <w:r w:rsidRPr="000600ED">
              <w:rPr>
                <w:rFonts w:asciiTheme="minorEastAsia" w:hAnsiTheme="minorEastAsia" w:hint="eastAsia"/>
                <w:sz w:val="20"/>
                <w:szCs w:val="20"/>
              </w:rPr>
              <w:t>：通常、成人は初期用量として</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75mg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回服用し、その後</w:t>
            </w:r>
            <w:r w:rsidRPr="000600ED">
              <w:rPr>
                <w:rFonts w:asciiTheme="minorEastAsia" w:hAnsiTheme="minorEastAsia"/>
                <w:sz w:val="20"/>
                <w:szCs w:val="20"/>
              </w:rPr>
              <w:t>1</w:t>
            </w:r>
            <w:r w:rsidRPr="000600ED">
              <w:rPr>
                <w:rFonts w:asciiTheme="minorEastAsia" w:hAnsiTheme="minorEastAsia" w:hint="eastAsia"/>
                <w:sz w:val="20"/>
                <w:szCs w:val="20"/>
              </w:rPr>
              <w:t>週間以上かけて</w:t>
            </w:r>
            <w:r w:rsidRPr="000600ED">
              <w:rPr>
                <w:rFonts w:asciiTheme="minorEastAsia" w:hAnsiTheme="minorEastAsia"/>
                <w:sz w:val="20"/>
                <w:szCs w:val="20"/>
              </w:rPr>
              <w:t>1</w:t>
            </w:r>
            <w:r w:rsidRPr="000600ED">
              <w:rPr>
                <w:rFonts w:asciiTheme="minorEastAsia" w:hAnsiTheme="minorEastAsia" w:hint="eastAsia"/>
                <w:sz w:val="20"/>
                <w:szCs w:val="20"/>
              </w:rPr>
              <w:t>日用量として</w:t>
            </w:r>
            <w:r w:rsidRPr="000600ED">
              <w:rPr>
                <w:rFonts w:asciiTheme="minorEastAsia" w:hAnsiTheme="minorEastAsia"/>
                <w:sz w:val="20"/>
                <w:szCs w:val="20"/>
              </w:rPr>
              <w:t>300mg</w:t>
            </w:r>
            <w:r w:rsidRPr="000600ED">
              <w:rPr>
                <w:rFonts w:asciiTheme="minorEastAsia" w:hAnsiTheme="minorEastAsia" w:hint="eastAsia"/>
                <w:sz w:val="20"/>
                <w:szCs w:val="20"/>
              </w:rPr>
              <w:t>まで漸増した後、</w:t>
            </w:r>
            <w:r w:rsidRPr="000600ED">
              <w:rPr>
                <w:rFonts w:asciiTheme="minorEastAsia" w:hAnsiTheme="minorEastAsia"/>
                <w:sz w:val="20"/>
                <w:szCs w:val="20"/>
              </w:rPr>
              <w:t>300</w:t>
            </w:r>
            <w:r w:rsidRPr="000600ED">
              <w:rPr>
                <w:rFonts w:asciiTheme="minorEastAsia" w:hAnsiTheme="minorEastAsia" w:hint="eastAsia"/>
                <w:sz w:val="20"/>
                <w:szCs w:val="20"/>
              </w:rPr>
              <w:t>～</w:t>
            </w:r>
            <w:r w:rsidRPr="000600ED">
              <w:rPr>
                <w:rFonts w:asciiTheme="minorEastAsia" w:hAnsiTheme="minorEastAsia"/>
                <w:sz w:val="20"/>
                <w:szCs w:val="20"/>
              </w:rPr>
              <w:t>450mg</w:t>
            </w:r>
            <w:r w:rsidRPr="000600ED">
              <w:rPr>
                <w:rFonts w:asciiTheme="minorEastAsia" w:hAnsiTheme="minorEastAsia" w:hint="eastAsia"/>
                <w:sz w:val="20"/>
                <w:szCs w:val="20"/>
              </w:rPr>
              <w:t>に維持します。年齢・症状により適宜増減されますが、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日最高用量は</w:t>
            </w:r>
            <w:r w:rsidRPr="000600ED">
              <w:rPr>
                <w:rFonts w:asciiTheme="minorEastAsia" w:hAnsiTheme="minorEastAsia"/>
                <w:sz w:val="20"/>
                <w:szCs w:val="20"/>
              </w:rPr>
              <w:t>450mg</w:t>
            </w:r>
            <w:r w:rsidRPr="000600ED">
              <w:rPr>
                <w:rFonts w:asciiTheme="minorEastAsia" w:hAnsiTheme="minorEastAsia" w:hint="eastAsia"/>
                <w:sz w:val="20"/>
                <w:szCs w:val="20"/>
              </w:rPr>
              <w:t>を超えないこととし、いずれも</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回服用します。</w:t>
            </w:r>
          </w:p>
          <w:p w:rsidR="00000000" w:rsidRDefault="000600ED" w:rsidP="002B76BF">
            <w:pPr>
              <w:ind w:leftChars="200" w:left="420"/>
            </w:pPr>
            <w:r w:rsidRPr="000600ED">
              <w:rPr>
                <w:rFonts w:asciiTheme="minorEastAsia" w:hAnsiTheme="minorEastAsia" w:hint="eastAsia"/>
                <w:sz w:val="20"/>
                <w:szCs w:val="20"/>
              </w:rPr>
              <w:t>本剤は</w:t>
            </w:r>
            <w:r w:rsidRPr="000600ED">
              <w:rPr>
                <w:rFonts w:asciiTheme="minorEastAsia" w:hAnsiTheme="minorEastAsia"/>
                <w:sz w:val="20"/>
                <w:szCs w:val="20"/>
              </w:rPr>
              <w:t>1</w:t>
            </w:r>
            <w:r w:rsidRPr="000600ED">
              <w:rPr>
                <w:rFonts w:asciiTheme="minorEastAsia" w:hAnsiTheme="minorEastAsia" w:hint="eastAsia"/>
                <w:sz w:val="20"/>
                <w:szCs w:val="20"/>
              </w:rPr>
              <w:t>錠中に主成分</w:t>
            </w:r>
            <w:r w:rsidRPr="000600ED">
              <w:rPr>
                <w:rFonts w:asciiTheme="minorEastAsia" w:hAnsiTheme="minorEastAsia"/>
                <w:sz w:val="20"/>
                <w:szCs w:val="20"/>
              </w:rPr>
              <w:t>75mg</w:t>
            </w:r>
            <w:r w:rsidRPr="000600ED">
              <w:rPr>
                <w:rFonts w:asciiTheme="minorEastAsia" w:hAnsiTheme="minorEastAsia" w:hint="eastAsia"/>
                <w:sz w:val="20"/>
                <w:szCs w:val="20"/>
              </w:rPr>
              <w:t>を含有します。いずれの場合も、必ず指示された服用方法に従ってください。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・この薬は水と一緒でなくても飲めるタイプの薬です。舌の上でだ液を含ませ軽くつぶしてから、だ液と一緒に飲んでください。</w:t>
            </w:r>
          </w:p>
          <w:p w:rsidR="00000000" w:rsidRDefault="000600ED" w:rsidP="002B76BF">
            <w:pPr>
              <w:ind w:leftChars="200" w:left="420"/>
            </w:pPr>
            <w:r w:rsidRPr="000600ED">
              <w:rPr>
                <w:rFonts w:asciiTheme="minorEastAsia" w:hAnsiTheme="minorEastAsia" w:hint="eastAsia"/>
                <w:sz w:val="20"/>
                <w:szCs w:val="20"/>
              </w:rPr>
              <w:t>普通の薬と同じように、コップ</w:t>
            </w:r>
            <w:r w:rsidRPr="000600ED">
              <w:rPr>
                <w:rFonts w:asciiTheme="minorEastAsia" w:hAnsiTheme="minorEastAsia"/>
                <w:sz w:val="20"/>
                <w:szCs w:val="20"/>
              </w:rPr>
              <w:t>1</w:t>
            </w:r>
            <w:r w:rsidRPr="000600ED">
              <w:rPr>
                <w:rFonts w:asciiTheme="minorEastAsia" w:hAnsiTheme="minorEastAsia" w:hint="eastAsia"/>
                <w:sz w:val="20"/>
                <w:szCs w:val="20"/>
              </w:rPr>
              <w:t>杯程度の水またはぬるま湯で飲むこともできます。</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・飲み忘れた場合は、気がついた時にできるだけ早く飲んでください。ただし、次に通常に服用する時間が近い場合は飲まずに、次の服用時間から</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めまい、傾眠、意識消失などがあらわれ、自動車事故に至った例もありますので、自動車の運転など危険を伴う機械の操作はしないでください。特に高齢者ではこれらの症状により転倒し骨折などを起こした例がありますので、十分に注意してください。</w:t>
            </w:r>
          </w:p>
          <w:p w:rsidR="00000000" w:rsidRDefault="000600ED" w:rsidP="001456F1">
            <w:pPr>
              <w:ind w:leftChars="100" w:left="410" w:hangingChars="100" w:hanging="200"/>
            </w:pPr>
            <w:r w:rsidRPr="000600ED">
              <w:rPr>
                <w:rFonts w:asciiTheme="minorEastAsia" w:hAnsiTheme="minorEastAsia" w:hint="eastAsia"/>
                <w:sz w:val="20"/>
                <w:szCs w:val="20"/>
              </w:rPr>
              <w:t>・体重増加を来すことがありますので、肥満の徴候があらわれた場合は医師または薬剤師に相談してください。</w:t>
            </w:r>
          </w:p>
          <w:p w:rsidR="00000000" w:rsidRDefault="000600ED" w:rsidP="001456F1">
            <w:pPr>
              <w:ind w:leftChars="100" w:left="410" w:hangingChars="100" w:hanging="200"/>
            </w:pPr>
            <w:r w:rsidRPr="000600ED">
              <w:rPr>
                <w:rFonts w:asciiTheme="minorEastAsia" w:hAnsiTheme="minorEastAsia" w:hint="eastAsia"/>
                <w:sz w:val="20"/>
                <w:szCs w:val="20"/>
              </w:rPr>
              <w:t>・ピントが合わず見えにくい、目のかすみ、物が重なって見えるなどの症状があらわれた場合には医師または薬剤師に相談してください。</w:t>
            </w:r>
          </w:p>
          <w:p w:rsidR="00000000" w:rsidRDefault="000600ED" w:rsidP="001456F1">
            <w:pPr>
              <w:ind w:leftChars="100" w:left="410" w:hangingChars="100" w:hanging="200"/>
            </w:pPr>
            <w:r w:rsidRPr="000600ED">
              <w:rPr>
                <w:rFonts w:asciiTheme="minorEastAsia" w:hAnsiTheme="minorEastAsia" w:hint="eastAsia"/>
                <w:sz w:val="20"/>
                <w:szCs w:val="20"/>
              </w:rPr>
              <w:t>・アルコールは薬の作用を強めることがありますので、注意してください。</w:t>
            </w:r>
          </w:p>
          <w:p w:rsidR="00D24830" w:rsidRPr="000600ED" w:rsidRDefault="00D24830" w:rsidP="001456F1">
            <w:pPr>
              <w:ind w:leftChars="100" w:left="410" w:hangingChars="100" w:hanging="200"/>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主な副作用として、浮動性めまい、浮腫、体重増加などが報告されています。このような症状に気づいたら、担当の医師または薬剤師に相談してください。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・ふらつき、意識がぼんやりして睡眠に近い状態、意識がなくなる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めまい、傾眠、意識消失</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・食欲不振、全身けん怠感、吐き気</w:t>
            </w:r>
            <w:r w:rsidRPr="000600ED">
              <w:rPr>
                <w:rFonts w:asciiTheme="minorEastAsia" w:hAnsiTheme="minorEastAsia"/>
                <w:sz w:val="20"/>
                <w:szCs w:val="20"/>
              </w:rPr>
              <w:t xml:space="preserve"> [</w:t>
            </w:r>
            <w:r w:rsidRPr="000600ED">
              <w:rPr>
                <w:rFonts w:asciiTheme="minorEastAsia" w:hAnsiTheme="minorEastAsia" w:hint="eastAsia"/>
                <w:sz w:val="20"/>
                <w:szCs w:val="20"/>
              </w:rPr>
              <w:t>劇症肝炎、肝機能障害</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・むくみ、体動時の動悸、呼吸困難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心不全、肺水腫</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・脱力感、けん怠感、冷汗</w:t>
            </w:r>
            <w:r w:rsidRPr="000600ED">
              <w:rPr>
                <w:rFonts w:asciiTheme="minorEastAsia" w:hAnsiTheme="minorEastAsia"/>
                <w:sz w:val="20"/>
                <w:szCs w:val="20"/>
              </w:rPr>
              <w:t xml:space="preserve"> [</w:t>
            </w:r>
            <w:r w:rsidRPr="000600ED">
              <w:rPr>
                <w:rFonts w:asciiTheme="minorEastAsia" w:hAnsiTheme="minorEastAsia" w:hint="eastAsia"/>
                <w:sz w:val="20"/>
                <w:szCs w:val="20"/>
              </w:rPr>
              <w:t>低血糖</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・尿量減少、むくみ、全身けん怠感</w:t>
            </w:r>
            <w:r w:rsidRPr="000600ED">
              <w:rPr>
                <w:rFonts w:asciiTheme="minorEastAsia" w:hAnsiTheme="minorEastAsia"/>
                <w:sz w:val="20"/>
                <w:szCs w:val="20"/>
              </w:rPr>
              <w:t xml:space="preserve"> [</w:t>
            </w:r>
            <w:r w:rsidRPr="000600ED">
              <w:rPr>
                <w:rFonts w:asciiTheme="minorEastAsia" w:hAnsiTheme="minorEastAsia" w:hint="eastAsia"/>
                <w:sz w:val="20"/>
                <w:szCs w:val="20"/>
              </w:rPr>
              <w:t>腎不全</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lastRenderedPageBreak/>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lastRenderedPageBreak/>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0F6" w:rsidRDefault="004F60F6" w:rsidP="005676BB">
      <w:r>
        <w:separator/>
      </w:r>
    </w:p>
  </w:endnote>
  <w:endnote w:type="continuationSeparator" w:id="0">
    <w:p w:rsidR="004F60F6" w:rsidRDefault="004F60F6"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2510B9">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2510B9">
      <w:rPr>
        <w:b/>
        <w:noProof/>
      </w:rPr>
      <w:t>2</w:t>
    </w:r>
    <w:r>
      <w:rPr>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0F6" w:rsidRDefault="004F60F6" w:rsidP="005676BB">
      <w:r>
        <w:separator/>
      </w:r>
    </w:p>
  </w:footnote>
  <w:footnote w:type="continuationSeparator" w:id="0">
    <w:p w:rsidR="004F60F6" w:rsidRDefault="004F60F6"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422F"/>
    <w:rsid w:val="000600ED"/>
    <w:rsid w:val="001103E5"/>
    <w:rsid w:val="001456F1"/>
    <w:rsid w:val="001D7781"/>
    <w:rsid w:val="002209A5"/>
    <w:rsid w:val="002376F2"/>
    <w:rsid w:val="002510B9"/>
    <w:rsid w:val="002A4A81"/>
    <w:rsid w:val="002B76BF"/>
    <w:rsid w:val="003071A2"/>
    <w:rsid w:val="003333EC"/>
    <w:rsid w:val="003F20F5"/>
    <w:rsid w:val="004F60F6"/>
    <w:rsid w:val="00547602"/>
    <w:rsid w:val="005676BB"/>
    <w:rsid w:val="006A40B0"/>
    <w:rsid w:val="00764B98"/>
    <w:rsid w:val="007B113F"/>
    <w:rsid w:val="007D422F"/>
    <w:rsid w:val="008B2922"/>
    <w:rsid w:val="009166E6"/>
    <w:rsid w:val="00A142FA"/>
    <w:rsid w:val="00A31947"/>
    <w:rsid w:val="00A510BA"/>
    <w:rsid w:val="00AA4132"/>
    <w:rsid w:val="00AB2DE2"/>
    <w:rsid w:val="00BB5781"/>
    <w:rsid w:val="00BB661C"/>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9C9CAC0-56F9-42DE-B693-699BF9B8F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176F6F9A62D264AA093223FAAB65535" ma:contentTypeVersion="10" ma:contentTypeDescription="新しいドキュメントを作成します。" ma:contentTypeScope="" ma:versionID="4cd5727a3da25f793f84dd996c061b26">
  <xsd:schema xmlns:xsd="http://www.w3.org/2001/XMLSchema" xmlns:xs="http://www.w3.org/2001/XMLSchema" xmlns:p="http://schemas.microsoft.com/office/2006/metadata/properties" xmlns:ns2="e14f8136-efd4-4514-bdf3-2f256f1c060e" xmlns:ns3="b6afd494-ab87-4b37-86ce-fa8a65a86a44" targetNamespace="http://schemas.microsoft.com/office/2006/metadata/properties" ma:root="true" ma:fieldsID="bfba298efe3faecbcb003487d9977b70" ns2:_="" ns3:_="">
    <xsd:import namespace="e14f8136-efd4-4514-bdf3-2f256f1c060e"/>
    <xsd:import namespace="b6afd494-ab87-4b37-86ce-fa8a65a86a44"/>
    <xsd:element name="properties">
      <xsd:complexType>
        <xsd:sequence>
          <xsd:element name="documentManagement">
            <xsd:complexType>
              <xsd:all>
                <xsd:element ref="ns2:flgtenso"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f8136-efd4-4514-bdf3-2f256f1c060e" elementFormDefault="qualified">
    <xsd:import namespace="http://schemas.microsoft.com/office/2006/documentManagement/types"/>
    <xsd:import namespace="http://schemas.microsoft.com/office/infopath/2007/PartnerControls"/>
    <xsd:element name="flgtenso" ma:index="8" nillable="true" ma:displayName="転送" ma:default="1" ma:internalName="flgtenso">
      <xsd:simpleType>
        <xsd:restriction base="dms:Boolea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fd494-ab87-4b37-86ce-fa8a65a86a44" elementFormDefault="qualified">
    <xsd:import namespace="http://schemas.microsoft.com/office/2006/documentManagement/types"/>
    <xsd:import namespace="http://schemas.microsoft.com/office/infopath/2007/PartnerControls"/>
    <xsd:element name="SharedWithUsers" ma:index="9"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共有相手の詳細情報"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lgtenso xmlns="e14f8136-efd4-4514-bdf3-2f256f1c060e">true</flgtenso>
  </documentManagement>
</p:properties>
</file>

<file path=customXml/itemProps1.xml><?xml version="1.0" encoding="utf-8"?>
<ds:datastoreItem xmlns:ds="http://schemas.openxmlformats.org/officeDocument/2006/customXml" ds:itemID="{6A66D805-DDAC-4011-8725-00F635829B23}">
  <ds:schemaRefs>
    <ds:schemaRef ds:uri="http://schemas.openxmlformats.org/officeDocument/2006/bibliography"/>
  </ds:schemaRefs>
</ds:datastoreItem>
</file>

<file path=customXml/itemProps2.xml><?xml version="1.0" encoding="utf-8"?>
<ds:datastoreItem xmlns:ds="http://schemas.openxmlformats.org/officeDocument/2006/customXml" ds:itemID="{85C12C36-AE09-436D-BC78-DE35144E078B}"/>
</file>

<file path=customXml/itemProps3.xml><?xml version="1.0" encoding="utf-8"?>
<ds:datastoreItem xmlns:ds="http://schemas.openxmlformats.org/officeDocument/2006/customXml" ds:itemID="{8FB3ED15-BD1C-4E0E-ABE4-EFF79CC60C5F}"/>
</file>

<file path=customXml/itemProps4.xml><?xml version="1.0" encoding="utf-8"?>
<ds:datastoreItem xmlns:ds="http://schemas.openxmlformats.org/officeDocument/2006/customXml" ds:itemID="{CE54CB2A-634A-4475-88AC-509F12A4C28C}"/>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comodo</dc:creator>
  <cp:keywords/>
  <dc:description/>
  <cp:lastModifiedBy>吉村　美穂</cp:lastModifiedBy>
  <cp:revision>2</cp:revision>
  <dcterms:created xsi:type="dcterms:W3CDTF">2020-12-14T01:12:00Z</dcterms:created>
  <dcterms:modified xsi:type="dcterms:W3CDTF">2020-12-14T01:12:00Z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0x0101001176F6F9A62D264AA093223FAAB65535</vt:lpwstr>
  </property>
</Properties>
</file>